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before="1320" w:beforeLines="550" w:after="480"/>
        <w:jc w:val="right"/>
      </w:pPr>
      <w:r>
        <w:drawing>
          <wp:inline distT="0" distB="0" distL="0" distR="0">
            <wp:extent cx="2234565" cy="4292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20"/>
        <w:tabs>
          <w:tab w:val="left" w:pos="6735"/>
          <w:tab w:val="right" w:pos="8923"/>
        </w:tabs>
        <w:spacing w:before="720" w:beforeLines="300" w:after="480"/>
        <w:jc w:val="right"/>
        <w:rPr>
          <w:rFonts w:hint="eastAsia" w:ascii="Calibri" w:cs="Calibri"/>
          <w:color w:val="000000"/>
          <w:sz w:val="52"/>
          <w:szCs w:val="52"/>
        </w:rPr>
      </w:pPr>
      <w:r>
        <w:rPr>
          <w:rFonts w:hint="eastAsia" w:ascii="Calibri" w:cs="Calibri"/>
          <w:color w:val="000000"/>
          <w:sz w:val="52"/>
          <w:szCs w:val="52"/>
        </w:rPr>
        <w:t>东软NetEye SOC网络安全管理系统</w:t>
      </w:r>
    </w:p>
    <w:p>
      <w:pPr>
        <w:pStyle w:val="19"/>
        <w:rPr>
          <w:sz w:val="32"/>
          <w:szCs w:val="32"/>
        </w:rPr>
      </w:pPr>
    </w:p>
    <w:p>
      <w:pPr>
        <w:pStyle w:val="20"/>
        <w:tabs>
          <w:tab w:val="left" w:pos="5840"/>
          <w:tab w:val="right" w:pos="8923"/>
        </w:tabs>
        <w:spacing w:before="720" w:beforeLines="300" w:after="480"/>
        <w:jc w:val="right"/>
        <w:rPr>
          <w:sz w:val="32"/>
          <w:szCs w:val="32"/>
        </w:rPr>
      </w:pPr>
      <w:r>
        <w:rPr>
          <w:rFonts w:hint="eastAsia" w:ascii="Calibri" w:cs="Calibri"/>
          <w:color w:val="000000"/>
          <w:sz w:val="52"/>
          <w:szCs w:val="52"/>
        </w:rPr>
        <w:t>升级手册</w:t>
      </w:r>
    </w:p>
    <w:p>
      <w:pPr>
        <w:pStyle w:val="19"/>
        <w:rPr>
          <w:sz w:val="32"/>
          <w:szCs w:val="32"/>
        </w:rPr>
      </w:pPr>
    </w:p>
    <w:p>
      <w:pPr>
        <w:pStyle w:val="19"/>
        <w:rPr>
          <w:sz w:val="32"/>
          <w:szCs w:val="32"/>
        </w:rPr>
      </w:pPr>
    </w:p>
    <w:p>
      <w:pPr>
        <w:pStyle w:val="19"/>
        <w:rPr>
          <w:sz w:val="32"/>
          <w:szCs w:val="32"/>
        </w:rPr>
      </w:pPr>
    </w:p>
    <w:p>
      <w:pPr>
        <w:pStyle w:val="19"/>
        <w:rPr>
          <w:sz w:val="32"/>
          <w:szCs w:val="32"/>
        </w:rPr>
      </w:pPr>
    </w:p>
    <w:p>
      <w:pPr>
        <w:pStyle w:val="19"/>
        <w:rPr>
          <w:sz w:val="32"/>
          <w:szCs w:val="32"/>
        </w:rPr>
      </w:pPr>
    </w:p>
    <w:p>
      <w:pPr>
        <w:pStyle w:val="20"/>
        <w:tabs>
          <w:tab w:val="left" w:pos="5840"/>
          <w:tab w:val="right" w:pos="8923"/>
        </w:tabs>
        <w:spacing w:before="720" w:beforeLines="300" w:after="48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版本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hint="eastAsia" w:ascii="Times New Roman" w:hAnsi="Times New Roman"/>
          <w:sz w:val="32"/>
          <w:szCs w:val="32"/>
        </w:rPr>
        <w:t>0</w:t>
      </w: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snapToGrid w:val="0"/>
        <w:jc w:val="center"/>
        <w:rPr>
          <w:rFonts w:eastAsia="楷体_GB2312"/>
          <w:b/>
        </w:rPr>
      </w:pPr>
      <w:r>
        <w:rPr>
          <w:rFonts w:eastAsia="黑体" w:cs="黑体"/>
          <w:sz w:val="44"/>
          <w:szCs w:val="44"/>
          <w:rtl/>
        </w:rPr>
        <w:t>变更履历</w:t>
      </w:r>
    </w:p>
    <w:tbl>
      <w:tblPr>
        <w:tblStyle w:val="13"/>
        <w:tblW w:w="9412" w:type="dxa"/>
        <w:tblInd w:w="1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09"/>
        <w:gridCol w:w="796"/>
        <w:gridCol w:w="3333"/>
        <w:gridCol w:w="1619"/>
        <w:gridCol w:w="1276"/>
        <w:gridCol w:w="1279"/>
      </w:tblGrid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20" w:hRule="atLeast"/>
        </w:trPr>
        <w:tc>
          <w:tcPr>
            <w:tcW w:w="110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  <w:b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修改编号</w:t>
            </w:r>
          </w:p>
        </w:tc>
        <w:tc>
          <w:tcPr>
            <w:tcW w:w="79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  <w:b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版本</w:t>
            </w:r>
          </w:p>
        </w:tc>
        <w:tc>
          <w:tcPr>
            <w:tcW w:w="333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  <w:b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修改内容</w:t>
            </w:r>
          </w:p>
        </w:tc>
        <w:tc>
          <w:tcPr>
            <w:tcW w:w="161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  <w:b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修改人</w:t>
            </w:r>
          </w:p>
        </w:tc>
        <w:tc>
          <w:tcPr>
            <w:tcW w:w="1276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  <w:b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审批人</w:t>
            </w:r>
          </w:p>
        </w:tc>
        <w:tc>
          <w:tcPr>
            <w:tcW w:w="127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  <w:vAlign w:val="center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  <w:r>
              <w:rPr>
                <w:rFonts w:eastAsia="楷体_GB2312" w:cs="楷体_GB2312"/>
                <w:b/>
                <w:bCs/>
                <w:szCs w:val="21"/>
                <w:rtl/>
              </w:rPr>
              <w:t>审批日期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8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01</w:t>
            </w: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1.0</w:t>
            </w: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文档新建</w:t>
            </w:r>
            <w:r>
              <w:rPr>
                <w:rFonts w:ascii="楷体" w:hAnsi="楷体" w:eastAsia="楷体"/>
                <w:szCs w:val="21"/>
              </w:rPr>
              <w:t>。</w:t>
            </w: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夏甜甜</w:t>
            </w: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>刘洋</w:t>
            </w: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default" w:eastAsia="楷体_GB2312"/>
                <w:lang w:val="en-US"/>
              </w:rPr>
            </w:pPr>
            <w:r>
              <w:rPr>
                <w:rFonts w:hint="eastAsia" w:eastAsia="楷体_GB2312"/>
                <w:lang w:val="en-US" w:eastAsia="zh-CN"/>
              </w:rPr>
              <w:t>2024/1/26</w:t>
            </w: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34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default" w:eastAsia="楷体_GB2312"/>
                <w:lang w:val="en-US" w:eastAsia="zh-CN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default" w:eastAsia="楷体_GB2312"/>
                <w:lang w:val="en-US" w:eastAsia="zh-CN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default" w:ascii="楷体" w:hAnsi="楷体" w:eastAsia="楷体" w:cs="Mangal"/>
                <w:szCs w:val="21"/>
                <w:lang w:val="en-US" w:eastAsia="zh-CN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eastAsia" w:ascii="楷体" w:hAnsi="楷体" w:eastAsia="楷体"/>
                <w:lang w:val="en-US" w:eastAsia="zh-CN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eastAsia" w:ascii="楷体" w:hAnsi="楷体" w:eastAsia="楷体"/>
                <w:lang w:val="en-US" w:eastAsia="zh-CN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hint="default" w:eastAsia="楷体_GB2312"/>
                <w:lang w:val="en-US" w:eastAsia="zh-CN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8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  <w:tr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3" w:hRule="atLeast"/>
        </w:trPr>
        <w:tc>
          <w:tcPr>
            <w:tcW w:w="110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79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  <w:tc>
          <w:tcPr>
            <w:tcW w:w="3333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619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ascii="楷体" w:hAnsi="楷体" w:eastAsia="楷体"/>
              </w:rPr>
            </w:pPr>
          </w:p>
        </w:tc>
        <w:tc>
          <w:tcPr>
            <w:tcW w:w="1279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>
            <w:pPr>
              <w:autoSpaceDE w:val="0"/>
              <w:snapToGrid w:val="0"/>
              <w:jc w:val="left"/>
              <w:rPr>
                <w:rFonts w:eastAsia="楷体_GB2312"/>
              </w:rPr>
            </w:pPr>
          </w:p>
        </w:tc>
      </w:tr>
    </w:tbl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50"/>
        <w:spacing w:after="480" w:afterLines="200"/>
        <w:rPr>
          <w:color w:val="auto"/>
          <w:sz w:val="44"/>
          <w:szCs w:val="44"/>
        </w:rPr>
      </w:pPr>
      <w:r>
        <w:rPr>
          <w:rFonts w:hint="eastAsia"/>
          <w:color w:val="auto"/>
          <w:sz w:val="44"/>
          <w:szCs w:val="44"/>
          <w:lang w:val="zh-CN"/>
        </w:rPr>
        <w:t>目录</w:t>
      </w:r>
    </w:p>
    <w:p>
      <w:pPr>
        <w:pStyle w:val="11"/>
        <w:tabs>
          <w:tab w:val="right" w:leader="dot" w:pos="8923"/>
        </w:tabs>
      </w:pP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TOC \o "1-3" \h \z \u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HYPERLINK \l _Toc32361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hint="eastAsia"/>
          <w:lang w:val="en-US" w:eastAsia="zh-CN"/>
        </w:rPr>
        <w:t>1.安装说明</w:t>
      </w:r>
      <w:r>
        <w:tab/>
      </w:r>
      <w:r>
        <w:fldChar w:fldCharType="begin"/>
      </w:r>
      <w:r>
        <w:instrText xml:space="preserve"> PAGEREF _Toc32361 \h </w:instrText>
      </w:r>
      <w:r>
        <w:fldChar w:fldCharType="separate"/>
      </w:r>
      <w:r>
        <w:t>4</w:t>
      </w:r>
      <w:r>
        <w:fldChar w:fldCharType="end"/>
      </w: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pStyle w:val="11"/>
        <w:tabs>
          <w:tab w:val="right" w:leader="dot" w:pos="8923"/>
        </w:tabs>
      </w:pP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HYPERLINK \l _Toc2084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.东软NetEye SOC网络安全管理系统V5.0</w:t>
      </w:r>
      <w:r>
        <w:t xml:space="preserve"> </w:t>
      </w:r>
      <w:r>
        <w:rPr>
          <w:rFonts w:hint="eastAsia"/>
        </w:rPr>
        <w:t>升级</w:t>
      </w:r>
      <w:r>
        <w:tab/>
      </w:r>
      <w:r>
        <w:fldChar w:fldCharType="begin"/>
      </w:r>
      <w:r>
        <w:instrText xml:space="preserve"> PAGEREF _Toc2084 \h </w:instrText>
      </w:r>
      <w:r>
        <w:fldChar w:fldCharType="separate"/>
      </w:r>
      <w:r>
        <w:t>5</w:t>
      </w:r>
      <w:r>
        <w:fldChar w:fldCharType="end"/>
      </w: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pStyle w:val="12"/>
        <w:tabs>
          <w:tab w:val="right" w:leader="dot" w:pos="8923"/>
        </w:tabs>
      </w:pP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HYPERLINK \l _Toc23713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.1</w:t>
      </w:r>
      <w:r>
        <w:t xml:space="preserve"> </w:t>
      </w:r>
      <w:r>
        <w:rPr>
          <w:rFonts w:hint="eastAsia"/>
        </w:rPr>
        <w:t>校验M</w:t>
      </w:r>
      <w:r>
        <w:t>D5</w:t>
      </w:r>
      <w:r>
        <w:rPr>
          <w:rFonts w:hint="eastAsia"/>
        </w:rPr>
        <w:t>值</w:t>
      </w:r>
      <w:r>
        <w:tab/>
      </w:r>
      <w:r>
        <w:fldChar w:fldCharType="begin"/>
      </w:r>
      <w:r>
        <w:instrText xml:space="preserve"> PAGEREF _Toc23713 \h </w:instrText>
      </w:r>
      <w:r>
        <w:fldChar w:fldCharType="separate"/>
      </w:r>
      <w:r>
        <w:t>5</w:t>
      </w:r>
      <w:r>
        <w:fldChar w:fldCharType="end"/>
      </w: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pStyle w:val="12"/>
        <w:tabs>
          <w:tab w:val="right" w:leader="dot" w:pos="8923"/>
        </w:tabs>
      </w:pP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HYPERLINK \l _Toc29647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hint="eastAsia"/>
        </w:rPr>
        <w:t>2.2</w:t>
      </w:r>
      <w:r>
        <w:t xml:space="preserve"> </w:t>
      </w:r>
      <w:r>
        <w:rPr>
          <w:rFonts w:hint="eastAsia"/>
        </w:rPr>
        <w:t>升级</w:t>
      </w:r>
      <w:r>
        <w:tab/>
      </w:r>
      <w:r>
        <w:fldChar w:fldCharType="begin"/>
      </w:r>
      <w:r>
        <w:instrText xml:space="preserve"> PAGEREF _Toc29647 \h </w:instrText>
      </w:r>
      <w:r>
        <w:fldChar w:fldCharType="separate"/>
      </w:r>
      <w:r>
        <w:t>5</w:t>
      </w:r>
      <w:r>
        <w:fldChar w:fldCharType="end"/>
      </w: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pStyle w:val="12"/>
        <w:tabs>
          <w:tab w:val="right" w:leader="dot" w:pos="8923"/>
        </w:tabs>
      </w:pPr>
      <w:r>
        <w:rPr>
          <w:rFonts w:asciiTheme="majorEastAsia" w:hAnsiTheme="majorEastAsia" w:eastAsiaTheme="majorEastAsia"/>
          <w:szCs w:val="21"/>
        </w:rPr>
        <w:fldChar w:fldCharType="begin"/>
      </w:r>
      <w:r>
        <w:rPr>
          <w:rFonts w:asciiTheme="majorEastAsia" w:hAnsiTheme="majorEastAsia" w:eastAsiaTheme="majorEastAsia"/>
          <w:szCs w:val="21"/>
        </w:rPr>
        <w:instrText xml:space="preserve"> HYPERLINK \l _Toc29512 </w:instrText>
      </w:r>
      <w:r>
        <w:rPr>
          <w:rFonts w:asciiTheme="majorEastAsia" w:hAnsiTheme="majorEastAsia" w:eastAsiaTheme="majorEastAsia"/>
          <w:szCs w:val="21"/>
        </w:rPr>
        <w:fldChar w:fldCharType="separate"/>
      </w:r>
      <w:r>
        <w:rPr>
          <w:rFonts w:hint="eastAsia"/>
          <w:lang w:val="en-US" w:eastAsia="zh-CN"/>
        </w:rPr>
        <w:t>2.3 300107版本引擎升级说明</w:t>
      </w:r>
      <w:r>
        <w:tab/>
      </w:r>
      <w:r>
        <w:fldChar w:fldCharType="begin"/>
      </w:r>
      <w:r>
        <w:instrText xml:space="preserve"> PAGEREF _Toc29512 \h </w:instrText>
      </w:r>
      <w:r>
        <w:fldChar w:fldCharType="separate"/>
      </w:r>
      <w:r>
        <w:t>7</w:t>
      </w:r>
      <w:r>
        <w:fldChar w:fldCharType="end"/>
      </w: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fldChar w:fldCharType="end"/>
      </w:r>
    </w:p>
    <w:p>
      <w:pPr>
        <w:pStyle w:val="58"/>
        <w:rPr>
          <w:rFonts w:hint="eastAsia"/>
        </w:rPr>
        <w:sectPr>
          <w:footerReference r:id="rId5" w:type="default"/>
          <w:pgSz w:w="11906" w:h="17338"/>
          <w:pgMar w:top="1960" w:right="1527" w:bottom="954" w:left="1456" w:header="720" w:footer="720" w:gutter="0"/>
          <w:cols w:space="720" w:num="1"/>
          <w:titlePg/>
          <w:docGrid w:linePitch="286" w:charSpace="0"/>
        </w:sectPr>
      </w:pPr>
    </w:p>
    <w:p>
      <w:pPr>
        <w:pStyle w:val="58"/>
        <w:rPr>
          <w:rFonts w:hint="eastAsia"/>
          <w:lang w:val="en-US" w:eastAsia="zh-CN"/>
        </w:rPr>
      </w:pPr>
      <w:bookmarkStart w:id="0" w:name="_Toc32361"/>
      <w:r>
        <w:rPr>
          <w:rFonts w:hint="eastAsia"/>
          <w:lang w:val="en-US" w:eastAsia="zh-CN"/>
        </w:rPr>
        <w:t>1.安装说明</w:t>
      </w:r>
      <w:bookmarkEnd w:id="0"/>
    </w:p>
    <w:p>
      <w:pPr>
        <w:bidi w:val="0"/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该升级手册适用于</w:t>
      </w:r>
      <w:r>
        <w:rPr>
          <w:rFonts w:hint="default"/>
          <w:lang w:val="en-US" w:eastAsia="zh-CN"/>
        </w:rPr>
        <w:t>SOC6000</w:t>
      </w:r>
      <w:r>
        <w:rPr>
          <w:rFonts w:hint="eastAsia"/>
          <w:lang w:val="en-US" w:eastAsia="zh-CN"/>
        </w:rPr>
        <w:t>-XE系列升级，升级前先确认是否为</w:t>
      </w:r>
      <w:r>
        <w:rPr>
          <w:rFonts w:hint="default"/>
          <w:lang w:val="en-US" w:eastAsia="zh-CN"/>
        </w:rPr>
        <w:t>SOC6000</w:t>
      </w:r>
      <w:r>
        <w:rPr>
          <w:rFonts w:hint="eastAsia"/>
          <w:lang w:val="en-US" w:eastAsia="zh-CN"/>
        </w:rPr>
        <w:t>-XE系列产品，可以从admin账户下基本信息查看版本号，XE系列版本号格式例300100，请检查是否以300开头，确认无误后可参考下方升级方式进行升级动作。</w:t>
      </w:r>
    </w:p>
    <w:p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该升级手册适用版本如下：</w:t>
      </w:r>
    </w:p>
    <w:p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SOC6000-XE3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SOC6000-XE3-D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SOC6000-XE5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SOC6000-XE5-D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SOC6000-XE6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SOC6000-XE7</w:t>
      </w:r>
    </w:p>
    <w:p>
      <w:pPr>
        <w:pStyle w:val="58"/>
      </w:pPr>
      <w:bookmarkStart w:id="1" w:name="_Toc2084"/>
      <w:r>
        <w:rPr>
          <w:rFonts w:hint="eastAsia"/>
          <w:lang w:val="en-US" w:eastAsia="zh-CN"/>
        </w:rPr>
        <w:t>2</w:t>
      </w:r>
      <w:r>
        <w:rPr>
          <w:rFonts w:hint="eastAsia"/>
        </w:rPr>
        <w:t>.东软NetEye SOC网络安全管理系统V5.0</w:t>
      </w:r>
      <w:r>
        <w:t xml:space="preserve"> </w:t>
      </w:r>
      <w:r>
        <w:rPr>
          <w:rFonts w:hint="eastAsia"/>
        </w:rPr>
        <w:t>升级</w:t>
      </w:r>
      <w:bookmarkEnd w:id="1"/>
    </w:p>
    <w:p>
      <w:pPr>
        <w:pStyle w:val="62"/>
      </w:pPr>
      <w:bookmarkStart w:id="2" w:name="_Toc23713"/>
      <w:r>
        <w:rPr>
          <w:rFonts w:hint="eastAsia"/>
          <w:lang w:val="en-US" w:eastAsia="zh-CN"/>
        </w:rPr>
        <w:t>2</w:t>
      </w:r>
      <w:r>
        <w:rPr>
          <w:rFonts w:hint="eastAsia"/>
        </w:rPr>
        <w:t>.1</w:t>
      </w:r>
      <w:r>
        <w:t xml:space="preserve"> </w:t>
      </w:r>
      <w:r>
        <w:rPr>
          <w:rFonts w:hint="eastAsia"/>
        </w:rPr>
        <w:t>校验M</w:t>
      </w:r>
      <w:r>
        <w:t>D5</w:t>
      </w:r>
      <w:r>
        <w:rPr>
          <w:rFonts w:hint="eastAsia"/>
        </w:rPr>
        <w:t>值</w:t>
      </w:r>
      <w:bookmarkEnd w:id="2"/>
    </w:p>
    <w:p>
      <w:pPr>
        <w:pStyle w:val="52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获取M</w:t>
      </w:r>
      <w:r>
        <w:rPr>
          <w:rFonts w:asciiTheme="minorEastAsia" w:hAnsiTheme="minorEastAsia" w:eastAsiaTheme="minorEastAsia"/>
          <w:sz w:val="24"/>
          <w:szCs w:val="24"/>
        </w:rPr>
        <w:t>D5</w:t>
      </w:r>
      <w:r>
        <w:rPr>
          <w:rFonts w:hint="eastAsia" w:asciiTheme="minorEastAsia" w:hAnsiTheme="minorEastAsia" w:eastAsiaTheme="minorEastAsia"/>
          <w:sz w:val="24"/>
          <w:szCs w:val="24"/>
        </w:rPr>
        <w:t>值：</w:t>
      </w:r>
    </w:p>
    <w:p>
      <w:pPr>
        <w:pStyle w:val="52"/>
        <w:numPr>
          <w:ilvl w:val="0"/>
          <w:numId w:val="0"/>
        </w:numPr>
        <w:ind w:leftChars="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方式一：东软neteye官网下载。</w:t>
      </w:r>
    </w:p>
    <w:p>
      <w:pPr>
        <w:pStyle w:val="52"/>
        <w:numPr>
          <w:ilvl w:val="0"/>
          <w:numId w:val="0"/>
        </w:numPr>
        <w:ind w:leftChars="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方式二：研发、生产提供升级包。</w:t>
      </w:r>
    </w:p>
    <w:p>
      <w:pPr>
        <w:pStyle w:val="52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将安装包放在任意linux系统下执行命令【</w:t>
      </w:r>
      <w:r>
        <w:rPr>
          <w:rFonts w:asciiTheme="minorEastAsia" w:hAnsiTheme="minorEastAsia" w:eastAsiaTheme="minorEastAsia"/>
          <w:sz w:val="24"/>
          <w:szCs w:val="24"/>
        </w:rPr>
        <w:t xml:space="preserve">md5sum </w:t>
      </w:r>
      <w:r>
        <w:rPr>
          <w:rFonts w:hint="eastAsia" w:asciiTheme="minorEastAsia" w:hAnsiTheme="minorEastAsia" w:eastAsiaTheme="minorEastAsia"/>
          <w:sz w:val="24"/>
          <w:szCs w:val="24"/>
        </w:rPr>
        <w:t>升级包】，取下图红框区域，下图仅供位置参考，请以实际获取为准。</w:t>
      </w:r>
    </w:p>
    <w:p>
      <w:pPr>
        <w:pStyle w:val="52"/>
        <w:ind w:left="360" w:firstLine="0" w:firstLineChars="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drawing>
          <wp:inline distT="0" distB="0" distL="114300" distR="114300">
            <wp:extent cx="5661660" cy="1717040"/>
            <wp:effectExtent l="0" t="0" r="15240" b="1651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2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获取到的md5值与东软NetEye SOC网络安全管理系统V5.0_MD5</w:t>
      </w:r>
      <w:r>
        <w:rPr>
          <w:rFonts w:asciiTheme="minorEastAsia" w:hAnsiTheme="minorEastAsia" w:eastAsiaTheme="minorEastAsia"/>
          <w:sz w:val="24"/>
          <w:szCs w:val="24"/>
        </w:rPr>
        <w:t>.txt</w:t>
      </w:r>
      <w:r>
        <w:rPr>
          <w:rFonts w:hint="eastAsia" w:asciiTheme="minorEastAsia" w:hAnsiTheme="minorEastAsia" w:eastAsiaTheme="minorEastAsia"/>
          <w:sz w:val="24"/>
          <w:szCs w:val="24"/>
        </w:rPr>
        <w:t>文档中md5值校对，如一致则代表安装包正确。</w:t>
      </w:r>
    </w:p>
    <w:p>
      <w:pPr>
        <w:pStyle w:val="62"/>
      </w:pPr>
      <w:bookmarkStart w:id="3" w:name="_Toc29647"/>
      <w:r>
        <w:rPr>
          <w:rFonts w:hint="eastAsia"/>
        </w:rPr>
        <w:t>2.2</w:t>
      </w:r>
      <w:r>
        <w:t xml:space="preserve"> </w:t>
      </w:r>
      <w:r>
        <w:rPr>
          <w:rFonts w:hint="eastAsia"/>
        </w:rPr>
        <w:t>升级</w:t>
      </w:r>
      <w:bookmarkEnd w:id="3"/>
    </w:p>
    <w:p>
      <w:pPr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登陆admin账户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查看系统管理build是否为30010*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660390" cy="2933065"/>
            <wp:effectExtent l="0" t="0" r="16510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0390" cy="293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进入系统升级界面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drawing>
          <wp:inline distT="0" distB="0" distL="114300" distR="114300">
            <wp:extent cx="5664835" cy="2978150"/>
            <wp:effectExtent l="0" t="0" r="1206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4835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2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点击上传文件按钮，选择升级包，升级包的选择是根据当前版本决定的</w:t>
      </w:r>
    </w:p>
    <w:p>
      <w:pPr>
        <w:pStyle w:val="52"/>
        <w:numPr>
          <w:ilvl w:val="0"/>
          <w:numId w:val="0"/>
        </w:numPr>
        <w:ind w:left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假设：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当前版本为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0010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本次释放两个升级包，分别是：patch-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00100to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00101.zip和patch-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00101to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00102.zip，只能先选择patch-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00100to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00101.zip升级包，否则会提示升级包错误，升级版本变为了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00101后，则可以使用patch-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0010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.zip升级包进行二次升级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以此类推，版本只能依次递增升级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ind w:left="360" w:leftChars="0" w:hanging="360"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升级成功界面会有一条记录。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/>
          <w:sz w:val="24"/>
          <w:szCs w:val="24"/>
        </w:rPr>
      </w:pPr>
      <w:r>
        <w:drawing>
          <wp:inline distT="0" distB="0" distL="114300" distR="114300">
            <wp:extent cx="5661660" cy="2978150"/>
            <wp:effectExtent l="0" t="0" r="15240" b="1270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360" w:leftChars="0" w:hanging="3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升级包上传完毕开始升级，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每次</w:t>
      </w:r>
      <w:r>
        <w:rPr>
          <w:rFonts w:hint="eastAsia" w:asciiTheme="minorEastAsia" w:hAnsiTheme="minorEastAsia" w:eastAsiaTheme="minorEastAsia"/>
          <w:sz w:val="24"/>
          <w:szCs w:val="24"/>
        </w:rPr>
        <w:t>升级完成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服务端和后台服务</w:t>
      </w:r>
      <w:r>
        <w:rPr>
          <w:rFonts w:hint="eastAsia" w:asciiTheme="minorEastAsia" w:hAnsiTheme="minorEastAsia" w:eastAsiaTheme="minorEastAsia"/>
          <w:sz w:val="24"/>
          <w:szCs w:val="24"/>
        </w:rPr>
        <w:t>自动重启，约3分钟后可以使用系统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重启完成后进行下一次升级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62"/>
        <w:rPr>
          <w:rFonts w:hint="eastAsia"/>
          <w:lang w:val="en-US" w:eastAsia="zh-CN"/>
        </w:rPr>
      </w:pPr>
      <w:bookmarkStart w:id="4" w:name="_Toc29512"/>
      <w:r>
        <w:rPr>
          <w:rFonts w:hint="eastAsia"/>
          <w:lang w:val="en-US" w:eastAsia="zh-CN"/>
        </w:rPr>
        <w:t>2.3 300107版本引擎升级说明</w:t>
      </w:r>
      <w:bookmarkEnd w:id="4"/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当系统升级到版本号为300107版本时，需要对系统引擎进行升级，升级说明如下：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1、将changeEngine.sh、engine.sql两个文件放置到任意路径下，例如：/home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2、在文件所在路径执行命令：sh changeEngine.sh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3、以上步骤已完成引擎升级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备注：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changeEngine.sh、engine.sql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文件放置位置为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0000FF"/>
          <w:sz w:val="24"/>
          <w:szCs w:val="24"/>
          <w:lang w:val="en-US" w:eastAsia="zh-CN"/>
        </w:rPr>
        <w:t>Neteye_SOC_5_0_build_300107-NGSOC-XE_4.1_center</w:t>
      </w:r>
      <w:r>
        <w:rPr>
          <w:rFonts w:hint="eastAsia" w:asciiTheme="minorEastAsia" w:hAnsiTheme="minorEastAsia" w:eastAsiaTheme="minorEastAsia"/>
          <w:color w:val="0000FF"/>
          <w:sz w:val="24"/>
          <w:szCs w:val="24"/>
          <w:lang w:val="en-US" w:eastAsia="zh-CN"/>
        </w:rPr>
        <w:t>.zip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/>
          <w:color w:val="0000FF"/>
          <w:sz w:val="24"/>
          <w:szCs w:val="24"/>
          <w:lang w:val="en-US" w:eastAsia="zh-CN"/>
        </w:rPr>
        <w:t>4.1升级到新引擎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文件夹内。</w:t>
      </w:r>
    </w:p>
    <w:sectPr>
      <w:pgSz w:w="11906" w:h="17338"/>
      <w:pgMar w:top="1960" w:right="1527" w:bottom="954" w:left="1456" w:header="720" w:footer="720" w:gutter="0"/>
      <w:cols w:space="720" w:num="1"/>
      <w:titlePg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ngsana Ne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8923"/>
      </w:tabs>
      <w:jc w:val="both"/>
      <w:rPr>
        <w:sz w:val="15"/>
        <w:szCs w:val="15"/>
      </w:rPr>
    </w:pPr>
    <w:r>
      <w:rPr>
        <w:rFonts w:hint="eastAsia"/>
        <w:sz w:val="15"/>
        <w:szCs w:val="15"/>
      </w:rPr>
      <w:t>安装手册</w:t>
    </w:r>
    <w:r>
      <w:rPr>
        <w:sz w:val="15"/>
        <w:szCs w:val="15"/>
      </w:rPr>
      <w:tab/>
    </w:r>
    <w:r>
      <w:rPr>
        <w:sz w:val="15"/>
        <w:szCs w:val="15"/>
      </w:rPr>
      <w:tab/>
    </w:r>
    <w:r>
      <w:rPr>
        <w:sz w:val="15"/>
        <w:szCs w:val="15"/>
      </w:rPr>
      <w:tab/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  \* MERGEFORMAT </w:instrText>
    </w:r>
    <w:r>
      <w:rPr>
        <w:sz w:val="15"/>
        <w:szCs w:val="15"/>
      </w:rPr>
      <w:fldChar w:fldCharType="separate"/>
    </w:r>
    <w:r>
      <w:rPr>
        <w:sz w:val="15"/>
        <w:szCs w:val="15"/>
        <w:lang w:val="zh-CN"/>
      </w:rPr>
      <w:t>5</w:t>
    </w:r>
    <w:r>
      <w:rPr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E537B"/>
    <w:multiLevelType w:val="singleLevel"/>
    <w:tmpl w:val="09DE537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077FDA"/>
    <w:multiLevelType w:val="multilevel"/>
    <w:tmpl w:val="14077FD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800"/>
  <w:drawingGridVerticalOrigin w:val="1440"/>
  <w:doNotShadeFormData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NDZkMzYxYTU2M2ZjZDQzMjIwY2E0ZTM3ZjQxZTIifQ=="/>
  </w:docVars>
  <w:rsids>
    <w:rsidRoot w:val="00AE35D2"/>
    <w:rsid w:val="00001401"/>
    <w:rsid w:val="00003EFD"/>
    <w:rsid w:val="00016371"/>
    <w:rsid w:val="00026FF6"/>
    <w:rsid w:val="0003093E"/>
    <w:rsid w:val="000333DF"/>
    <w:rsid w:val="00036049"/>
    <w:rsid w:val="00045745"/>
    <w:rsid w:val="000511C3"/>
    <w:rsid w:val="00052C68"/>
    <w:rsid w:val="0006210D"/>
    <w:rsid w:val="00064AC2"/>
    <w:rsid w:val="00070995"/>
    <w:rsid w:val="00072539"/>
    <w:rsid w:val="000838B0"/>
    <w:rsid w:val="00091CAD"/>
    <w:rsid w:val="000A3186"/>
    <w:rsid w:val="000A6AA9"/>
    <w:rsid w:val="000B54B6"/>
    <w:rsid w:val="000B6DAC"/>
    <w:rsid w:val="000C065E"/>
    <w:rsid w:val="000D2F46"/>
    <w:rsid w:val="000D47FE"/>
    <w:rsid w:val="000D58A2"/>
    <w:rsid w:val="000E367B"/>
    <w:rsid w:val="000E7C4C"/>
    <w:rsid w:val="000F57C5"/>
    <w:rsid w:val="00100493"/>
    <w:rsid w:val="00104572"/>
    <w:rsid w:val="001172BF"/>
    <w:rsid w:val="001427B2"/>
    <w:rsid w:val="00161FF7"/>
    <w:rsid w:val="001621AA"/>
    <w:rsid w:val="001646B8"/>
    <w:rsid w:val="00173810"/>
    <w:rsid w:val="00176B8F"/>
    <w:rsid w:val="00185242"/>
    <w:rsid w:val="001874FE"/>
    <w:rsid w:val="001929A8"/>
    <w:rsid w:val="00192BF0"/>
    <w:rsid w:val="001B0169"/>
    <w:rsid w:val="001B08D0"/>
    <w:rsid w:val="001B28A2"/>
    <w:rsid w:val="001B2DA6"/>
    <w:rsid w:val="001B4A34"/>
    <w:rsid w:val="001C1107"/>
    <w:rsid w:val="001C139A"/>
    <w:rsid w:val="001C18C6"/>
    <w:rsid w:val="001C1E63"/>
    <w:rsid w:val="001C20C2"/>
    <w:rsid w:val="001C4505"/>
    <w:rsid w:val="001C6270"/>
    <w:rsid w:val="001C65A9"/>
    <w:rsid w:val="001D3A8E"/>
    <w:rsid w:val="001D7C32"/>
    <w:rsid w:val="001E2484"/>
    <w:rsid w:val="001E5596"/>
    <w:rsid w:val="001E71EA"/>
    <w:rsid w:val="001F0171"/>
    <w:rsid w:val="001F4FB6"/>
    <w:rsid w:val="00207604"/>
    <w:rsid w:val="00210797"/>
    <w:rsid w:val="0021207A"/>
    <w:rsid w:val="00216A29"/>
    <w:rsid w:val="00217CA3"/>
    <w:rsid w:val="0022009A"/>
    <w:rsid w:val="0022358F"/>
    <w:rsid w:val="00227DAE"/>
    <w:rsid w:val="00240061"/>
    <w:rsid w:val="002422C1"/>
    <w:rsid w:val="00242619"/>
    <w:rsid w:val="00245ED7"/>
    <w:rsid w:val="0025522D"/>
    <w:rsid w:val="00256E02"/>
    <w:rsid w:val="00263279"/>
    <w:rsid w:val="00265F03"/>
    <w:rsid w:val="00265F7A"/>
    <w:rsid w:val="00276AC7"/>
    <w:rsid w:val="00286404"/>
    <w:rsid w:val="002929EA"/>
    <w:rsid w:val="002938AA"/>
    <w:rsid w:val="002A08AD"/>
    <w:rsid w:val="002A7D98"/>
    <w:rsid w:val="002B1573"/>
    <w:rsid w:val="002B7428"/>
    <w:rsid w:val="002C0143"/>
    <w:rsid w:val="002C629A"/>
    <w:rsid w:val="002C79C6"/>
    <w:rsid w:val="002D0CEB"/>
    <w:rsid w:val="002D4DB9"/>
    <w:rsid w:val="002D6FAE"/>
    <w:rsid w:val="002E09F6"/>
    <w:rsid w:val="002E186D"/>
    <w:rsid w:val="002F5304"/>
    <w:rsid w:val="002F6EEC"/>
    <w:rsid w:val="003000BC"/>
    <w:rsid w:val="00301051"/>
    <w:rsid w:val="00313E68"/>
    <w:rsid w:val="00325932"/>
    <w:rsid w:val="00333950"/>
    <w:rsid w:val="0034004B"/>
    <w:rsid w:val="00361477"/>
    <w:rsid w:val="003616D2"/>
    <w:rsid w:val="003643D2"/>
    <w:rsid w:val="0036732E"/>
    <w:rsid w:val="00367BD3"/>
    <w:rsid w:val="00386D8F"/>
    <w:rsid w:val="00387A14"/>
    <w:rsid w:val="003B0575"/>
    <w:rsid w:val="003B4704"/>
    <w:rsid w:val="003B4CBB"/>
    <w:rsid w:val="003C44ED"/>
    <w:rsid w:val="003C48D4"/>
    <w:rsid w:val="003C6955"/>
    <w:rsid w:val="003C7341"/>
    <w:rsid w:val="003D4730"/>
    <w:rsid w:val="003D7A98"/>
    <w:rsid w:val="003E2319"/>
    <w:rsid w:val="003E29A3"/>
    <w:rsid w:val="003F1C66"/>
    <w:rsid w:val="003F367F"/>
    <w:rsid w:val="003F6190"/>
    <w:rsid w:val="004065FD"/>
    <w:rsid w:val="00407DD0"/>
    <w:rsid w:val="0041039E"/>
    <w:rsid w:val="004241AF"/>
    <w:rsid w:val="00436A2A"/>
    <w:rsid w:val="00437986"/>
    <w:rsid w:val="00474872"/>
    <w:rsid w:val="004767DC"/>
    <w:rsid w:val="00483C5B"/>
    <w:rsid w:val="004956B8"/>
    <w:rsid w:val="004974D9"/>
    <w:rsid w:val="004A146B"/>
    <w:rsid w:val="004A427A"/>
    <w:rsid w:val="004A4A0B"/>
    <w:rsid w:val="004B2206"/>
    <w:rsid w:val="004C2FE9"/>
    <w:rsid w:val="004C38DA"/>
    <w:rsid w:val="004D0E66"/>
    <w:rsid w:val="004E351A"/>
    <w:rsid w:val="004F4A6B"/>
    <w:rsid w:val="004F6DE2"/>
    <w:rsid w:val="0050277E"/>
    <w:rsid w:val="00505689"/>
    <w:rsid w:val="005151DA"/>
    <w:rsid w:val="00516440"/>
    <w:rsid w:val="0052329F"/>
    <w:rsid w:val="00530F08"/>
    <w:rsid w:val="00531250"/>
    <w:rsid w:val="005321F9"/>
    <w:rsid w:val="005467CF"/>
    <w:rsid w:val="00551B07"/>
    <w:rsid w:val="0055459B"/>
    <w:rsid w:val="00557FDA"/>
    <w:rsid w:val="00562569"/>
    <w:rsid w:val="005631B3"/>
    <w:rsid w:val="00563E01"/>
    <w:rsid w:val="00576522"/>
    <w:rsid w:val="00585CF9"/>
    <w:rsid w:val="005870A4"/>
    <w:rsid w:val="005960F9"/>
    <w:rsid w:val="005B07AA"/>
    <w:rsid w:val="005C5307"/>
    <w:rsid w:val="005D1EEB"/>
    <w:rsid w:val="005E4C18"/>
    <w:rsid w:val="005F1A0D"/>
    <w:rsid w:val="005F39CD"/>
    <w:rsid w:val="006059B3"/>
    <w:rsid w:val="00606703"/>
    <w:rsid w:val="00610906"/>
    <w:rsid w:val="0061722D"/>
    <w:rsid w:val="00625DB8"/>
    <w:rsid w:val="006343FC"/>
    <w:rsid w:val="00634FE4"/>
    <w:rsid w:val="00643E22"/>
    <w:rsid w:val="006459DB"/>
    <w:rsid w:val="00646545"/>
    <w:rsid w:val="00651F6C"/>
    <w:rsid w:val="00652EE4"/>
    <w:rsid w:val="00665FEB"/>
    <w:rsid w:val="00666E00"/>
    <w:rsid w:val="00673676"/>
    <w:rsid w:val="00673F94"/>
    <w:rsid w:val="006770BC"/>
    <w:rsid w:val="00682B4E"/>
    <w:rsid w:val="006859A9"/>
    <w:rsid w:val="00685B72"/>
    <w:rsid w:val="00686841"/>
    <w:rsid w:val="006A4297"/>
    <w:rsid w:val="006A42BD"/>
    <w:rsid w:val="006A58CA"/>
    <w:rsid w:val="006A7625"/>
    <w:rsid w:val="006A777B"/>
    <w:rsid w:val="006B244E"/>
    <w:rsid w:val="006C3EEB"/>
    <w:rsid w:val="006C7906"/>
    <w:rsid w:val="006D07E0"/>
    <w:rsid w:val="006E0020"/>
    <w:rsid w:val="006F0190"/>
    <w:rsid w:val="006F4D7D"/>
    <w:rsid w:val="006F5445"/>
    <w:rsid w:val="006F7591"/>
    <w:rsid w:val="006F7F55"/>
    <w:rsid w:val="00705255"/>
    <w:rsid w:val="007118F3"/>
    <w:rsid w:val="00725F91"/>
    <w:rsid w:val="00730604"/>
    <w:rsid w:val="0073077D"/>
    <w:rsid w:val="00731E4D"/>
    <w:rsid w:val="0075113D"/>
    <w:rsid w:val="0075706D"/>
    <w:rsid w:val="0076501E"/>
    <w:rsid w:val="00775D3A"/>
    <w:rsid w:val="00794104"/>
    <w:rsid w:val="007A4597"/>
    <w:rsid w:val="007A70D2"/>
    <w:rsid w:val="007B2D68"/>
    <w:rsid w:val="007B6D4E"/>
    <w:rsid w:val="007C7400"/>
    <w:rsid w:val="007D0AF1"/>
    <w:rsid w:val="007D1896"/>
    <w:rsid w:val="007D4812"/>
    <w:rsid w:val="007E09E1"/>
    <w:rsid w:val="007F2C2E"/>
    <w:rsid w:val="007F5FB2"/>
    <w:rsid w:val="00806A53"/>
    <w:rsid w:val="0081168B"/>
    <w:rsid w:val="008247D6"/>
    <w:rsid w:val="00843DA0"/>
    <w:rsid w:val="00844FA4"/>
    <w:rsid w:val="00847BB7"/>
    <w:rsid w:val="008509E2"/>
    <w:rsid w:val="00856736"/>
    <w:rsid w:val="00863BBB"/>
    <w:rsid w:val="00867BE8"/>
    <w:rsid w:val="0087054D"/>
    <w:rsid w:val="0088303E"/>
    <w:rsid w:val="0088462E"/>
    <w:rsid w:val="00890AB4"/>
    <w:rsid w:val="00892F2A"/>
    <w:rsid w:val="00893060"/>
    <w:rsid w:val="00893DC9"/>
    <w:rsid w:val="008956E3"/>
    <w:rsid w:val="008957F5"/>
    <w:rsid w:val="00897294"/>
    <w:rsid w:val="008A21CC"/>
    <w:rsid w:val="008B016A"/>
    <w:rsid w:val="008B0F8C"/>
    <w:rsid w:val="008B21EF"/>
    <w:rsid w:val="008B28C0"/>
    <w:rsid w:val="008B5019"/>
    <w:rsid w:val="008C5A57"/>
    <w:rsid w:val="008C6916"/>
    <w:rsid w:val="008C6EAB"/>
    <w:rsid w:val="008C7785"/>
    <w:rsid w:val="008D3DE9"/>
    <w:rsid w:val="008E30D6"/>
    <w:rsid w:val="008E4653"/>
    <w:rsid w:val="008E7008"/>
    <w:rsid w:val="008F1843"/>
    <w:rsid w:val="008F697F"/>
    <w:rsid w:val="008F6B99"/>
    <w:rsid w:val="008F7312"/>
    <w:rsid w:val="009005D3"/>
    <w:rsid w:val="00901030"/>
    <w:rsid w:val="00901C9F"/>
    <w:rsid w:val="00903290"/>
    <w:rsid w:val="00910B12"/>
    <w:rsid w:val="0093670B"/>
    <w:rsid w:val="00936DCE"/>
    <w:rsid w:val="0094101A"/>
    <w:rsid w:val="00944FBA"/>
    <w:rsid w:val="00957059"/>
    <w:rsid w:val="00960F50"/>
    <w:rsid w:val="009737D2"/>
    <w:rsid w:val="00973972"/>
    <w:rsid w:val="00977B9C"/>
    <w:rsid w:val="00987987"/>
    <w:rsid w:val="0099177B"/>
    <w:rsid w:val="009927F1"/>
    <w:rsid w:val="00995BCC"/>
    <w:rsid w:val="009A388F"/>
    <w:rsid w:val="009A5C91"/>
    <w:rsid w:val="009A72FB"/>
    <w:rsid w:val="009B21FE"/>
    <w:rsid w:val="009B44B7"/>
    <w:rsid w:val="009D0C77"/>
    <w:rsid w:val="009D1092"/>
    <w:rsid w:val="009E0224"/>
    <w:rsid w:val="009E3665"/>
    <w:rsid w:val="009E4172"/>
    <w:rsid w:val="009E5DA7"/>
    <w:rsid w:val="009F1597"/>
    <w:rsid w:val="009F26F7"/>
    <w:rsid w:val="009F61F0"/>
    <w:rsid w:val="00A02F2A"/>
    <w:rsid w:val="00A12DCE"/>
    <w:rsid w:val="00A13E52"/>
    <w:rsid w:val="00A14934"/>
    <w:rsid w:val="00A15FE9"/>
    <w:rsid w:val="00A166C6"/>
    <w:rsid w:val="00A20EE5"/>
    <w:rsid w:val="00A22665"/>
    <w:rsid w:val="00A22985"/>
    <w:rsid w:val="00A27243"/>
    <w:rsid w:val="00A35200"/>
    <w:rsid w:val="00A42CDA"/>
    <w:rsid w:val="00A44045"/>
    <w:rsid w:val="00A55D43"/>
    <w:rsid w:val="00A60108"/>
    <w:rsid w:val="00A6023C"/>
    <w:rsid w:val="00A6110C"/>
    <w:rsid w:val="00A63BBC"/>
    <w:rsid w:val="00A70808"/>
    <w:rsid w:val="00A724F4"/>
    <w:rsid w:val="00A832BF"/>
    <w:rsid w:val="00A86230"/>
    <w:rsid w:val="00A86F04"/>
    <w:rsid w:val="00AA1D34"/>
    <w:rsid w:val="00AB0259"/>
    <w:rsid w:val="00AD5775"/>
    <w:rsid w:val="00AE2BCE"/>
    <w:rsid w:val="00AE35D2"/>
    <w:rsid w:val="00AE66DF"/>
    <w:rsid w:val="00AE701B"/>
    <w:rsid w:val="00AF4F3C"/>
    <w:rsid w:val="00AF5CB8"/>
    <w:rsid w:val="00B01D52"/>
    <w:rsid w:val="00B04901"/>
    <w:rsid w:val="00B05AEE"/>
    <w:rsid w:val="00B067F1"/>
    <w:rsid w:val="00B11C89"/>
    <w:rsid w:val="00B12FA0"/>
    <w:rsid w:val="00B161EE"/>
    <w:rsid w:val="00B25BFB"/>
    <w:rsid w:val="00B3244B"/>
    <w:rsid w:val="00B348AD"/>
    <w:rsid w:val="00B3578C"/>
    <w:rsid w:val="00B505BA"/>
    <w:rsid w:val="00B54048"/>
    <w:rsid w:val="00B56A34"/>
    <w:rsid w:val="00B651A5"/>
    <w:rsid w:val="00B67366"/>
    <w:rsid w:val="00B747D8"/>
    <w:rsid w:val="00B7738E"/>
    <w:rsid w:val="00B82727"/>
    <w:rsid w:val="00B9616B"/>
    <w:rsid w:val="00B96EDB"/>
    <w:rsid w:val="00BA13CC"/>
    <w:rsid w:val="00BA6220"/>
    <w:rsid w:val="00BB1352"/>
    <w:rsid w:val="00BB23DD"/>
    <w:rsid w:val="00BB2FCD"/>
    <w:rsid w:val="00BB372D"/>
    <w:rsid w:val="00BB5BBC"/>
    <w:rsid w:val="00BB7BDB"/>
    <w:rsid w:val="00BC7154"/>
    <w:rsid w:val="00BD564A"/>
    <w:rsid w:val="00BE4226"/>
    <w:rsid w:val="00BE690E"/>
    <w:rsid w:val="00BE7D0E"/>
    <w:rsid w:val="00BE7E3D"/>
    <w:rsid w:val="00BF3E46"/>
    <w:rsid w:val="00C04931"/>
    <w:rsid w:val="00C062B7"/>
    <w:rsid w:val="00C10041"/>
    <w:rsid w:val="00C15802"/>
    <w:rsid w:val="00C15CB6"/>
    <w:rsid w:val="00C2334A"/>
    <w:rsid w:val="00C341D3"/>
    <w:rsid w:val="00C37EBA"/>
    <w:rsid w:val="00C435A0"/>
    <w:rsid w:val="00C47A1D"/>
    <w:rsid w:val="00C47F19"/>
    <w:rsid w:val="00C50972"/>
    <w:rsid w:val="00C53C18"/>
    <w:rsid w:val="00C54E55"/>
    <w:rsid w:val="00C63916"/>
    <w:rsid w:val="00C67D69"/>
    <w:rsid w:val="00C729C8"/>
    <w:rsid w:val="00C81C2F"/>
    <w:rsid w:val="00C87DD8"/>
    <w:rsid w:val="00C90667"/>
    <w:rsid w:val="00C91DB3"/>
    <w:rsid w:val="00C93B24"/>
    <w:rsid w:val="00C9405C"/>
    <w:rsid w:val="00CA1FBC"/>
    <w:rsid w:val="00CA418A"/>
    <w:rsid w:val="00CA6DB6"/>
    <w:rsid w:val="00CA79E9"/>
    <w:rsid w:val="00CB0385"/>
    <w:rsid w:val="00CB0A0D"/>
    <w:rsid w:val="00CB497A"/>
    <w:rsid w:val="00CB79D3"/>
    <w:rsid w:val="00CC5D35"/>
    <w:rsid w:val="00CC5F0B"/>
    <w:rsid w:val="00CC7D09"/>
    <w:rsid w:val="00CD1EB3"/>
    <w:rsid w:val="00CD246A"/>
    <w:rsid w:val="00CD26D8"/>
    <w:rsid w:val="00CD66EE"/>
    <w:rsid w:val="00CF3D36"/>
    <w:rsid w:val="00CF5C56"/>
    <w:rsid w:val="00CF64EA"/>
    <w:rsid w:val="00CF6E54"/>
    <w:rsid w:val="00D022E5"/>
    <w:rsid w:val="00D13AF5"/>
    <w:rsid w:val="00D17447"/>
    <w:rsid w:val="00D242D6"/>
    <w:rsid w:val="00D46511"/>
    <w:rsid w:val="00D530D5"/>
    <w:rsid w:val="00D54D1B"/>
    <w:rsid w:val="00D55E5F"/>
    <w:rsid w:val="00D5628C"/>
    <w:rsid w:val="00D61D83"/>
    <w:rsid w:val="00D67241"/>
    <w:rsid w:val="00D70272"/>
    <w:rsid w:val="00D75406"/>
    <w:rsid w:val="00D81507"/>
    <w:rsid w:val="00D82F65"/>
    <w:rsid w:val="00D86B8E"/>
    <w:rsid w:val="00D91886"/>
    <w:rsid w:val="00D91D44"/>
    <w:rsid w:val="00D93399"/>
    <w:rsid w:val="00D94543"/>
    <w:rsid w:val="00D967EB"/>
    <w:rsid w:val="00D96DE8"/>
    <w:rsid w:val="00DA0D94"/>
    <w:rsid w:val="00DB49FD"/>
    <w:rsid w:val="00DC4BC7"/>
    <w:rsid w:val="00DC6D9F"/>
    <w:rsid w:val="00DD0F9C"/>
    <w:rsid w:val="00DD49A4"/>
    <w:rsid w:val="00DE1181"/>
    <w:rsid w:val="00DE645D"/>
    <w:rsid w:val="00DF3819"/>
    <w:rsid w:val="00E17794"/>
    <w:rsid w:val="00E17F26"/>
    <w:rsid w:val="00E260F5"/>
    <w:rsid w:val="00E26C3E"/>
    <w:rsid w:val="00E31944"/>
    <w:rsid w:val="00E3520E"/>
    <w:rsid w:val="00E4405A"/>
    <w:rsid w:val="00E50752"/>
    <w:rsid w:val="00E56999"/>
    <w:rsid w:val="00E67961"/>
    <w:rsid w:val="00E72797"/>
    <w:rsid w:val="00E75D0A"/>
    <w:rsid w:val="00E83422"/>
    <w:rsid w:val="00E91000"/>
    <w:rsid w:val="00E94176"/>
    <w:rsid w:val="00EB7887"/>
    <w:rsid w:val="00EB7A35"/>
    <w:rsid w:val="00EC2213"/>
    <w:rsid w:val="00EC32F4"/>
    <w:rsid w:val="00EC647A"/>
    <w:rsid w:val="00EC7DB1"/>
    <w:rsid w:val="00ED7A5A"/>
    <w:rsid w:val="00ED7D5A"/>
    <w:rsid w:val="00EE3BF2"/>
    <w:rsid w:val="00EE499B"/>
    <w:rsid w:val="00EE64A1"/>
    <w:rsid w:val="00EF0CE2"/>
    <w:rsid w:val="00EF26B1"/>
    <w:rsid w:val="00EF3642"/>
    <w:rsid w:val="00EF7217"/>
    <w:rsid w:val="00F0355A"/>
    <w:rsid w:val="00F1237C"/>
    <w:rsid w:val="00F2190C"/>
    <w:rsid w:val="00F25EFB"/>
    <w:rsid w:val="00F263BF"/>
    <w:rsid w:val="00F26414"/>
    <w:rsid w:val="00F4570A"/>
    <w:rsid w:val="00F62079"/>
    <w:rsid w:val="00F70C40"/>
    <w:rsid w:val="00F75641"/>
    <w:rsid w:val="00F76E2D"/>
    <w:rsid w:val="00F90807"/>
    <w:rsid w:val="00FA22E0"/>
    <w:rsid w:val="00FA4B14"/>
    <w:rsid w:val="00FA718C"/>
    <w:rsid w:val="00FA7B79"/>
    <w:rsid w:val="00FB234E"/>
    <w:rsid w:val="00FC4D7D"/>
    <w:rsid w:val="00FC5FEC"/>
    <w:rsid w:val="00FD007C"/>
    <w:rsid w:val="00FD4585"/>
    <w:rsid w:val="00FE13E3"/>
    <w:rsid w:val="00FE28C5"/>
    <w:rsid w:val="00FE559E"/>
    <w:rsid w:val="00FF546E"/>
    <w:rsid w:val="028A538A"/>
    <w:rsid w:val="07820A3D"/>
    <w:rsid w:val="09C707F3"/>
    <w:rsid w:val="0BDE0AB9"/>
    <w:rsid w:val="0EBB698F"/>
    <w:rsid w:val="0F0B0B1A"/>
    <w:rsid w:val="11422B15"/>
    <w:rsid w:val="14767F3E"/>
    <w:rsid w:val="166A7575"/>
    <w:rsid w:val="20D60211"/>
    <w:rsid w:val="25227A45"/>
    <w:rsid w:val="25620A59"/>
    <w:rsid w:val="2A563E03"/>
    <w:rsid w:val="2BAD235D"/>
    <w:rsid w:val="2F295C7B"/>
    <w:rsid w:val="36103A54"/>
    <w:rsid w:val="39DA2F91"/>
    <w:rsid w:val="3A9B3EAD"/>
    <w:rsid w:val="3D2118BB"/>
    <w:rsid w:val="3D275287"/>
    <w:rsid w:val="40341CE6"/>
    <w:rsid w:val="410158A6"/>
    <w:rsid w:val="41E60DE4"/>
    <w:rsid w:val="431C5EE9"/>
    <w:rsid w:val="43475E9C"/>
    <w:rsid w:val="483A6C99"/>
    <w:rsid w:val="4C4C59D8"/>
    <w:rsid w:val="51E056A8"/>
    <w:rsid w:val="539569AE"/>
    <w:rsid w:val="57C05FB3"/>
    <w:rsid w:val="57F238CF"/>
    <w:rsid w:val="5D75246E"/>
    <w:rsid w:val="63B51061"/>
    <w:rsid w:val="673B4BC4"/>
    <w:rsid w:val="6FCB769A"/>
    <w:rsid w:val="72AC004D"/>
    <w:rsid w:val="78DB3429"/>
    <w:rsid w:val="7D780F2D"/>
    <w:rsid w:val="7D975B05"/>
    <w:rsid w:val="7FFB76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55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56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1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7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53"/>
    <w:autoRedefine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4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4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FollowedHyperlink"/>
    <w:basedOn w:val="15"/>
    <w:autoRedefine/>
    <w:semiHidden/>
    <w:unhideWhenUsed/>
    <w:qFormat/>
    <w:uiPriority w:val="99"/>
    <w:rPr>
      <w:rFonts w:cs="Times New Roman"/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Hyperlink"/>
    <w:basedOn w:val="15"/>
    <w:autoRedefine/>
    <w:unhideWhenUsed/>
    <w:qFormat/>
    <w:uiPriority w:val="99"/>
    <w:rPr>
      <w:rFonts w:cs="Times New Roman"/>
      <w:color w:val="0000FF"/>
      <w:u w:val="single"/>
    </w:rPr>
  </w:style>
  <w:style w:type="character" w:customStyle="1" w:styleId="18">
    <w:name w:val="标题 1 字符"/>
    <w:basedOn w:val="15"/>
    <w:link w:val="2"/>
    <w:autoRedefine/>
    <w:qFormat/>
    <w:locked/>
    <w:uiPriority w:val="9"/>
    <w:rPr>
      <w:rFonts w:cs="Times New Roman"/>
      <w:b/>
      <w:bCs/>
      <w:kern w:val="44"/>
      <w:sz w:val="44"/>
      <w:szCs w:val="44"/>
    </w:rPr>
  </w:style>
  <w:style w:type="paragraph" w:customStyle="1" w:styleId="19">
    <w:name w:val="Default"/>
    <w:link w:val="59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CM32"/>
    <w:basedOn w:val="19"/>
    <w:next w:val="19"/>
    <w:link w:val="63"/>
    <w:autoRedefine/>
    <w:qFormat/>
    <w:uiPriority w:val="99"/>
    <w:rPr>
      <w:rFonts w:cs="Times New Roman"/>
      <w:color w:val="auto"/>
    </w:rPr>
  </w:style>
  <w:style w:type="paragraph" w:customStyle="1" w:styleId="21">
    <w:name w:val="CM1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22">
    <w:name w:val="CM33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23">
    <w:name w:val="CM2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24">
    <w:name w:val="CM3"/>
    <w:basedOn w:val="19"/>
    <w:next w:val="19"/>
    <w:link w:val="60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25">
    <w:name w:val="CM4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26">
    <w:name w:val="CM34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27">
    <w:name w:val="CM6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28">
    <w:name w:val="CM7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29">
    <w:name w:val="CM38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30">
    <w:name w:val="CM35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31">
    <w:name w:val="CM36"/>
    <w:basedOn w:val="19"/>
    <w:next w:val="19"/>
    <w:link w:val="66"/>
    <w:autoRedefine/>
    <w:qFormat/>
    <w:uiPriority w:val="99"/>
    <w:rPr>
      <w:rFonts w:cs="Times New Roman"/>
      <w:color w:val="auto"/>
    </w:rPr>
  </w:style>
  <w:style w:type="paragraph" w:customStyle="1" w:styleId="32">
    <w:name w:val="CM14"/>
    <w:basedOn w:val="19"/>
    <w:next w:val="19"/>
    <w:autoRedefine/>
    <w:qFormat/>
    <w:uiPriority w:val="99"/>
    <w:pPr>
      <w:spacing w:line="311" w:lineRule="atLeast"/>
    </w:pPr>
    <w:rPr>
      <w:rFonts w:cs="Times New Roman"/>
      <w:color w:val="auto"/>
    </w:rPr>
  </w:style>
  <w:style w:type="paragraph" w:customStyle="1" w:styleId="33">
    <w:name w:val="CM16"/>
    <w:basedOn w:val="19"/>
    <w:next w:val="19"/>
    <w:autoRedefine/>
    <w:qFormat/>
    <w:uiPriority w:val="99"/>
    <w:pPr>
      <w:spacing w:line="311" w:lineRule="atLeast"/>
    </w:pPr>
    <w:rPr>
      <w:rFonts w:cs="Times New Roman"/>
      <w:color w:val="auto"/>
    </w:rPr>
  </w:style>
  <w:style w:type="paragraph" w:customStyle="1" w:styleId="34">
    <w:name w:val="CM17"/>
    <w:basedOn w:val="19"/>
    <w:next w:val="19"/>
    <w:autoRedefine/>
    <w:qFormat/>
    <w:uiPriority w:val="99"/>
    <w:pPr>
      <w:spacing w:line="311" w:lineRule="atLeast"/>
    </w:pPr>
    <w:rPr>
      <w:rFonts w:cs="Times New Roman"/>
      <w:color w:val="auto"/>
    </w:rPr>
  </w:style>
  <w:style w:type="paragraph" w:customStyle="1" w:styleId="35">
    <w:name w:val="CM9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36">
    <w:name w:val="CM20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37">
    <w:name w:val="CM21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38">
    <w:name w:val="CM24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39">
    <w:name w:val="CM25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40">
    <w:name w:val="CM26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41">
    <w:name w:val="CM22"/>
    <w:basedOn w:val="19"/>
    <w:next w:val="19"/>
    <w:autoRedefine/>
    <w:qFormat/>
    <w:uiPriority w:val="99"/>
    <w:rPr>
      <w:rFonts w:cs="Times New Roman"/>
      <w:color w:val="auto"/>
    </w:rPr>
  </w:style>
  <w:style w:type="paragraph" w:customStyle="1" w:styleId="42">
    <w:name w:val="CM28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43">
    <w:name w:val="CM29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44">
    <w:name w:val="CM30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45">
    <w:name w:val="CM31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46">
    <w:name w:val="CM12"/>
    <w:basedOn w:val="19"/>
    <w:next w:val="19"/>
    <w:autoRedefine/>
    <w:qFormat/>
    <w:uiPriority w:val="99"/>
    <w:pPr>
      <w:spacing w:line="313" w:lineRule="atLeast"/>
    </w:pPr>
    <w:rPr>
      <w:rFonts w:cs="Times New Roman"/>
      <w:color w:val="auto"/>
    </w:rPr>
  </w:style>
  <w:style w:type="paragraph" w:customStyle="1" w:styleId="47">
    <w:name w:val="CM37"/>
    <w:basedOn w:val="19"/>
    <w:next w:val="19"/>
    <w:autoRedefine/>
    <w:qFormat/>
    <w:uiPriority w:val="99"/>
    <w:rPr>
      <w:rFonts w:cs="Times New Roman"/>
      <w:color w:val="auto"/>
    </w:rPr>
  </w:style>
  <w:style w:type="character" w:customStyle="1" w:styleId="48">
    <w:name w:val="页眉 字符"/>
    <w:basedOn w:val="15"/>
    <w:link w:val="10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49">
    <w:name w:val="页脚 字符"/>
    <w:basedOn w:val="15"/>
    <w:link w:val="9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50">
    <w:name w:val="TOC 标题1"/>
    <w:basedOn w:val="2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1">
    <w:name w:val="文档结构图 字符"/>
    <w:basedOn w:val="15"/>
    <w:link w:val="6"/>
    <w:autoRedefine/>
    <w:semiHidden/>
    <w:qFormat/>
    <w:locked/>
    <w:uiPriority w:val="99"/>
    <w:rPr>
      <w:rFonts w:ascii="宋体" w:cs="Times New Roman"/>
      <w:kern w:val="2"/>
      <w:sz w:val="18"/>
      <w:szCs w:val="18"/>
    </w:rPr>
  </w:style>
  <w:style w:type="paragraph" w:styleId="5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53">
    <w:name w:val="批注框文本 字符"/>
    <w:basedOn w:val="15"/>
    <w:link w:val="8"/>
    <w:autoRedefine/>
    <w:semiHidden/>
    <w:qFormat/>
    <w:uiPriority w:val="99"/>
    <w:rPr>
      <w:kern w:val="2"/>
      <w:sz w:val="18"/>
      <w:szCs w:val="18"/>
    </w:rPr>
  </w:style>
  <w:style w:type="character" w:customStyle="1" w:styleId="54">
    <w:name w:val="标题 2 字符"/>
    <w:basedOn w:val="15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55">
    <w:name w:val="标题 3 字符"/>
    <w:basedOn w:val="15"/>
    <w:link w:val="4"/>
    <w:autoRedefine/>
    <w:qFormat/>
    <w:uiPriority w:val="9"/>
    <w:rPr>
      <w:b/>
      <w:bCs/>
      <w:kern w:val="2"/>
      <w:sz w:val="28"/>
      <w:szCs w:val="32"/>
    </w:rPr>
  </w:style>
  <w:style w:type="character" w:customStyle="1" w:styleId="56">
    <w:name w:val="标题 4 字符"/>
    <w:basedOn w:val="15"/>
    <w:link w:val="5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paragraph" w:customStyle="1" w:styleId="57">
    <w:name w:val="正文样式new"/>
    <w:basedOn w:val="24"/>
    <w:link w:val="61"/>
    <w:autoRedefine/>
    <w:qFormat/>
    <w:uiPriority w:val="0"/>
    <w:pPr>
      <w:spacing w:line="360" w:lineRule="auto"/>
      <w:ind w:left="200" w:leftChars="200"/>
    </w:pPr>
    <w:rPr>
      <w:rFonts w:cs="宋体" w:asciiTheme="minorEastAsia" w:hAnsiTheme="minorEastAsia" w:eastAsiaTheme="minorEastAsia"/>
      <w:color w:val="000000"/>
    </w:rPr>
  </w:style>
  <w:style w:type="paragraph" w:customStyle="1" w:styleId="58">
    <w:name w:val="标题样式1"/>
    <w:basedOn w:val="20"/>
    <w:link w:val="64"/>
    <w:autoRedefine/>
    <w:qFormat/>
    <w:uiPriority w:val="0"/>
    <w:pPr>
      <w:pageBreakBefore/>
      <w:spacing w:after="482"/>
      <w:outlineLvl w:val="0"/>
    </w:pPr>
    <w:rPr>
      <w:rFonts w:cs="Calibri" w:asciiTheme="minorEastAsia" w:hAnsiTheme="minorEastAsia" w:eastAsiaTheme="minorEastAsia"/>
      <w:b/>
      <w:bCs/>
      <w:color w:val="000000"/>
      <w:sz w:val="44"/>
      <w:szCs w:val="44"/>
    </w:rPr>
  </w:style>
  <w:style w:type="character" w:customStyle="1" w:styleId="59">
    <w:name w:val="Default Char"/>
    <w:basedOn w:val="15"/>
    <w:link w:val="19"/>
    <w:autoRedefine/>
    <w:qFormat/>
    <w:uiPriority w:val="0"/>
    <w:rPr>
      <w:rFonts w:ascii="宋体" w:cs="宋体"/>
      <w:color w:val="000000"/>
      <w:sz w:val="24"/>
      <w:szCs w:val="24"/>
    </w:rPr>
  </w:style>
  <w:style w:type="character" w:customStyle="1" w:styleId="60">
    <w:name w:val="CM3 Char"/>
    <w:basedOn w:val="59"/>
    <w:link w:val="24"/>
    <w:autoRedefine/>
    <w:qFormat/>
    <w:uiPriority w:val="99"/>
    <w:rPr>
      <w:rFonts w:ascii="宋体" w:cs="宋体"/>
      <w:color w:val="000000"/>
      <w:sz w:val="24"/>
      <w:szCs w:val="24"/>
    </w:rPr>
  </w:style>
  <w:style w:type="character" w:customStyle="1" w:styleId="61">
    <w:name w:val="正文样式new Char"/>
    <w:basedOn w:val="60"/>
    <w:link w:val="57"/>
    <w:autoRedefine/>
    <w:qFormat/>
    <w:uiPriority w:val="0"/>
    <w:rPr>
      <w:rFonts w:cs="宋体" w:asciiTheme="minorEastAsia" w:hAnsiTheme="minorEastAsia" w:eastAsiaTheme="minorEastAsia"/>
      <w:color w:val="000000"/>
      <w:sz w:val="24"/>
      <w:szCs w:val="24"/>
    </w:rPr>
  </w:style>
  <w:style w:type="paragraph" w:customStyle="1" w:styleId="62">
    <w:name w:val="标题样式2"/>
    <w:basedOn w:val="31"/>
    <w:link w:val="67"/>
    <w:autoRedefine/>
    <w:qFormat/>
    <w:uiPriority w:val="0"/>
    <w:pPr>
      <w:spacing w:after="120" w:line="360" w:lineRule="auto"/>
      <w:outlineLvl w:val="1"/>
    </w:pPr>
    <w:rPr>
      <w:rFonts w:cs="Calibri" w:asciiTheme="minorEastAsia" w:hAnsiTheme="minorEastAsia" w:eastAsiaTheme="minorEastAsia"/>
      <w:b/>
      <w:bCs/>
      <w:sz w:val="32"/>
      <w:szCs w:val="32"/>
    </w:rPr>
  </w:style>
  <w:style w:type="character" w:customStyle="1" w:styleId="63">
    <w:name w:val="CM32 Char"/>
    <w:basedOn w:val="59"/>
    <w:link w:val="20"/>
    <w:autoRedefine/>
    <w:qFormat/>
    <w:uiPriority w:val="99"/>
    <w:rPr>
      <w:rFonts w:ascii="宋体" w:cs="宋体"/>
      <w:color w:val="000000"/>
      <w:sz w:val="24"/>
      <w:szCs w:val="24"/>
    </w:rPr>
  </w:style>
  <w:style w:type="character" w:customStyle="1" w:styleId="64">
    <w:name w:val="标题样式1 Char"/>
    <w:basedOn w:val="63"/>
    <w:link w:val="58"/>
    <w:autoRedefine/>
    <w:qFormat/>
    <w:uiPriority w:val="0"/>
    <w:rPr>
      <w:rFonts w:cs="Calibri" w:asciiTheme="minorEastAsia" w:hAnsiTheme="minorEastAsia" w:eastAsiaTheme="minorEastAsia"/>
      <w:b/>
      <w:bCs/>
      <w:color w:val="000000"/>
      <w:sz w:val="44"/>
      <w:szCs w:val="44"/>
    </w:rPr>
  </w:style>
  <w:style w:type="paragraph" w:customStyle="1" w:styleId="65">
    <w:name w:val="标题样式3"/>
    <w:basedOn w:val="19"/>
    <w:link w:val="69"/>
    <w:autoRedefine/>
    <w:qFormat/>
    <w:uiPriority w:val="0"/>
    <w:pPr>
      <w:spacing w:after="100" w:afterAutospacing="1" w:line="360" w:lineRule="auto"/>
      <w:outlineLvl w:val="2"/>
    </w:pPr>
    <w:rPr>
      <w:rFonts w:cs="Calibri" w:asciiTheme="minorEastAsia" w:hAnsiTheme="minorEastAsia" w:eastAsiaTheme="minorEastAsia"/>
      <w:b/>
      <w:bCs/>
      <w:color w:val="auto"/>
      <w:sz w:val="28"/>
      <w:szCs w:val="28"/>
    </w:rPr>
  </w:style>
  <w:style w:type="character" w:customStyle="1" w:styleId="66">
    <w:name w:val="CM36 Char"/>
    <w:basedOn w:val="59"/>
    <w:link w:val="31"/>
    <w:autoRedefine/>
    <w:qFormat/>
    <w:uiPriority w:val="99"/>
    <w:rPr>
      <w:rFonts w:ascii="宋体" w:cs="宋体"/>
      <w:color w:val="000000"/>
      <w:sz w:val="24"/>
      <w:szCs w:val="24"/>
    </w:rPr>
  </w:style>
  <w:style w:type="character" w:customStyle="1" w:styleId="67">
    <w:name w:val="标题样式2 Char"/>
    <w:basedOn w:val="66"/>
    <w:link w:val="62"/>
    <w:autoRedefine/>
    <w:qFormat/>
    <w:uiPriority w:val="0"/>
    <w:rPr>
      <w:rFonts w:ascii="宋体" w:cs="宋体"/>
      <w:color w:val="000000"/>
      <w:sz w:val="24"/>
      <w:szCs w:val="24"/>
    </w:rPr>
  </w:style>
  <w:style w:type="paragraph" w:customStyle="1" w:styleId="68">
    <w:name w:val="标题样式4"/>
    <w:basedOn w:val="5"/>
    <w:link w:val="70"/>
    <w:autoRedefine/>
    <w:qFormat/>
    <w:uiPriority w:val="0"/>
    <w:rPr>
      <w:b w:val="0"/>
    </w:rPr>
  </w:style>
  <w:style w:type="character" w:customStyle="1" w:styleId="69">
    <w:name w:val="标题样式3 Char"/>
    <w:basedOn w:val="59"/>
    <w:link w:val="65"/>
    <w:autoRedefine/>
    <w:qFormat/>
    <w:uiPriority w:val="0"/>
    <w:rPr>
      <w:rFonts w:cs="Calibri" w:asciiTheme="minorEastAsia" w:hAnsiTheme="minorEastAsia" w:eastAsiaTheme="minorEastAsia"/>
      <w:b/>
      <w:bCs/>
      <w:color w:val="000000"/>
      <w:sz w:val="28"/>
      <w:szCs w:val="28"/>
    </w:rPr>
  </w:style>
  <w:style w:type="character" w:customStyle="1" w:styleId="70">
    <w:name w:val="标题样式4 Char"/>
    <w:basedOn w:val="56"/>
    <w:link w:val="68"/>
    <w:autoRedefine/>
    <w:qFormat/>
    <w:uiPriority w:val="0"/>
    <w:rPr>
      <w:rFonts w:asciiTheme="majorHAnsi" w:hAnsiTheme="majorHAnsi" w:eastAsiaTheme="majorEastAsia" w:cstheme="majorBidi"/>
      <w:kern w:val="2"/>
      <w:sz w:val="24"/>
      <w:szCs w:val="28"/>
    </w:rPr>
  </w:style>
  <w:style w:type="table" w:customStyle="1" w:styleId="71">
    <w:name w:val="无格式表格 21"/>
    <w:basedOn w:val="13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842CB-2ED2-4268-9A19-DE6EEECC46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468</Words>
  <Characters>689</Characters>
  <Lines>6</Lines>
  <Paragraphs>1</Paragraphs>
  <TotalTime>2</TotalTime>
  <ScaleCrop>false</ScaleCrop>
  <LinksUpToDate>false</LinksUpToDate>
  <CharactersWithSpaces>704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2015-04-09T02:50:00Z</dcterms:created>
  <dc:creator>chhao@neusoft.com</dc:creator>
  <dc:description>CentOS Linux release 8.2.2004 (Core)</dc:description>
  <cp:lastModifiedBy>夏甜甜</cp:lastModifiedBy>
  <cp:lastPrinted>2014-06-24T07:02:00Z</cp:lastPrinted>
  <dcterms:modified xsi:type="dcterms:W3CDTF">2024-01-26T06:39:26Z</dcterms:modified>
  <dc:title>CentOS_8.2安装手册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FC3E3E56EF5E40A9A1D71F761C47FD2C</vt:lpwstr>
  </property>
</Properties>
</file>